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pPr>
      <w:r>
        <w:rPr>
          <w:b/>
          <w:color w:val="000000"/>
          <w:sz w:val="17"/>
        </w:rPr>
        <w:t>SAMPLE PROPOSAL</w:t>
      </w:r>
    </w:p>
    <w:p>
      <w:pPr>
        <w:pStyle w:val="Title"/>
      </w:pPr>
      <w:r>
        <w:t>Electrical proposal</w:t>
      </w:r>
    </w:p>
    <w:p>
      <w:pPr>
        <w:pStyle w:val="Subtitle"/>
      </w:pPr>
      <w:r>
        <w:t>Commercial lighting retrofit</w:t>
      </w:r>
    </w:p>
    <w:p>
      <w:r>
        <w:rPr>
          <w:b/>
        </w:rPr>
        <w:t>Prepared for Harbor Business Center</w:t>
      </w:r>
      <w:r>
        <w:br/>
      </w:r>
      <w:r>
        <w:rPr>
          <w:b w:val="0"/>
        </w:rPr>
        <w:t>Prepared by Northbeam Electrical | Sample contractor</w:t>
      </w:r>
      <w:r>
        <w:br/>
      </w:r>
      <w:r>
        <w:rPr>
          <w:b w:val="0"/>
        </w:rPr>
        <w:t>Office and warehouse lighting upgrade | United States | USD</w:t>
      </w:r>
    </w:p>
    <w:tbl>
      <w:tblPr>
        <w:tblW w:type="auto" w:w="0"/>
        <w:jc w:val="center"/>
        <w:tblLayout w:type="fixed"/>
        <w:tblLook w:firstColumn="1" w:firstRow="1" w:lastColumn="0" w:lastRow="0" w:noHBand="0" w:noVBand="1" w:val="04A0"/>
      </w:tblPr>
      <w:tblGrid>
        <w:gridCol w:w="3672"/>
        <w:gridCol w:w="3024"/>
        <w:gridCol w:w="3701"/>
      </w:tblGrid>
      <w:tr>
        <w:trPr>
          <w:cantSplit/>
          <w:tblHeader/>
        </w:trPr>
        <w:tc>
          <w:tcPr>
            <w:tcW w:type="dxa" w:w="367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Proposal reference</w:t>
            </w:r>
          </w:p>
        </w:tc>
        <w:tc>
          <w:tcPr>
            <w:tcW w:type="dxa" w:w="302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Issued</w:t>
            </w:r>
          </w:p>
        </w:tc>
        <w:tc>
          <w:tcPr>
            <w:tcW w:type="dxa" w:w="3701"/>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Valid through</w:t>
            </w:r>
          </w:p>
        </w:tc>
      </w:tr>
      <w:tr>
        <w:trPr>
          <w:cantSplit/>
        </w:trPr>
        <w:tc>
          <w:tcPr>
            <w:tcW w:type="dxa" w:w="367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LQ-EX-1008 / Revision 01</w:t>
            </w:r>
          </w:p>
        </w:tc>
        <w:tc>
          <w:tcPr>
            <w:tcW w:type="dxa" w:w="302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October 8 2026</w:t>
            </w:r>
          </w:p>
        </w:tc>
        <w:tc>
          <w:tcPr>
            <w:tcW w:type="dxa" w:w="3701"/>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November 7 2026</w:t>
            </w:r>
          </w:p>
        </w:tc>
      </w:tr>
    </w:tbl>
    <w:p>
      <w:pPr>
        <w:spacing w:after="0" w:before="0" w:line="240" w:lineRule="auto"/>
      </w:pPr>
      <w:r>
        <w:rPr>
          <w:sz w:val="6"/>
        </w:rPr>
      </w:r>
    </w:p>
    <w:p>
      <w:pPr>
        <w:pStyle w:val="Heading1"/>
      </w:pPr>
      <w:r>
        <w:t>Proposed investment</w:t>
      </w:r>
    </w:p>
    <w:tbl>
      <w:tblPr>
        <w:tblW w:type="auto" w:w="0"/>
        <w:jc w:val="center"/>
        <w:tblLayout w:type="fixed"/>
        <w:tblLook w:firstColumn="1" w:firstRow="1" w:lastColumn="0" w:lastRow="0" w:noHBand="0" w:noVBand="1" w:val="04A0"/>
      </w:tblPr>
      <w:tblGrid>
        <w:gridCol w:w="3672"/>
        <w:gridCol w:w="3672"/>
        <w:gridCol w:w="3053"/>
      </w:tblGrid>
      <w:tr>
        <w:trPr>
          <w:cantSplit/>
          <w:tblHeader/>
        </w:trPr>
        <w:tc>
          <w:tcPr>
            <w:tcW w:type="dxa" w:w="367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Total including tax</w:t>
            </w:r>
          </w:p>
        </w:tc>
        <w:tc>
          <w:tcPr>
            <w:tcW w:type="dxa" w:w="367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Annual energy savings</w:t>
            </w:r>
          </w:p>
        </w:tc>
        <w:tc>
          <w:tcPr>
            <w:tcW w:type="dxa" w:w="305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Simple payback</w:t>
            </w:r>
          </w:p>
        </w:tc>
      </w:tr>
      <w:tr>
        <w:trPr>
          <w:cantSplit/>
        </w:trPr>
        <w:tc>
          <w:tcPr>
            <w:tcW w:type="dxa" w:w="367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color w:val="16201C"/>
                <w:sz w:val="34"/>
              </w:rPr>
              <w:t>$22,401.40</w:t>
            </w:r>
          </w:p>
        </w:tc>
        <w:tc>
          <w:tcPr>
            <w:tcW w:type="dxa" w:w="367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color w:val="16201C"/>
                <w:sz w:val="34"/>
              </w:rPr>
              <w:t>$6,349.82</w:t>
            </w:r>
          </w:p>
        </w:tc>
        <w:tc>
          <w:tcPr>
            <w:tcW w:type="dxa" w:w="305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color w:val="16201C"/>
                <w:sz w:val="34"/>
              </w:rPr>
              <w:t>3.53 years</w:t>
            </w:r>
          </w:p>
        </w:tc>
      </w:tr>
    </w:tbl>
    <w:p>
      <w:pPr>
        <w:spacing w:after="0" w:before="0" w:line="240" w:lineRule="auto"/>
      </w:pPr>
      <w:r>
        <w:rPr>
          <w:sz w:val="6"/>
        </w:rPr>
      </w:r>
    </w:p>
    <w:p>
      <w:pPr>
        <w:spacing w:line="264" w:lineRule="auto" w:after="120"/>
      </w:pPr>
      <w:r>
        <w:rPr>
          <w:b w:val="0"/>
          <w:color w:val="58645D"/>
          <w:sz w:val="16"/>
        </w:rPr>
        <w:t>The total includes sales tax on materials at an example rate of 6%. Payback uses the tax-inclusive project cost and estimated energy savings only.</w:t>
      </w:r>
    </w:p>
    <w:p>
      <w:pPr>
        <w:pStyle w:val="Heading1"/>
      </w:pPr>
      <w:r>
        <w:t>Project overview</w:t>
      </w:r>
    </w:p>
    <w:p>
      <w:r>
        <w:rPr>
          <w:b w:val="0"/>
        </w:rPr>
        <w:t>To the facilities team,</w:t>
      </w:r>
    </w:p>
    <w:p>
      <w:r>
        <w:rPr>
          <w:b w:val="0"/>
        </w:rPr>
        <w:t>We propose replacing 92 existing fluorescent and metal halide fixtures with LED fixtures across the office, meeting rooms, shared areas and warehouse. The work includes 30 occupancy sensors or compatible modules, two daylight sensors, installation, disposal, controls setup and project closeout.</w:t>
      </w:r>
    </w:p>
    <w:p>
      <w:r>
        <w:rPr>
          <w:b w:val="0"/>
        </w:rPr>
        <w:t>The existing fixture positions and branch circuits will be reused where suitable. Final product selections, sensor coverage and circuit conditions will be confirmed before procurement. The proposed schedule is three installation days, followed by controls checks and handover.</w:t>
      </w:r>
    </w:p>
    <w:p>
      <w:r>
        <w:rPr>
          <w:b w:val="0"/>
        </w:rPr>
        <w:t xml:space="preserve">The model estimates an annual reduction of </w:t>
      </w:r>
      <w:r>
        <w:rPr>
          <w:b/>
        </w:rPr>
        <w:t>42,332.16 kWh (70.0%)</w:t>
      </w:r>
      <w:r>
        <w:rPr>
          <w:b w:val="0"/>
        </w:rPr>
        <w:t xml:space="preserve">. No rebate is deducted. Ten year net cash flow after the tax-inclusive project cost is </w:t>
      </w:r>
      <w:r>
        <w:rPr>
          <w:b/>
        </w:rPr>
        <w:t>$41,096.80</w:t>
      </w:r>
      <w:r>
        <w:rPr>
          <w:b w:val="0"/>
        </w:rPr>
        <w:t>.</w:t>
      </w:r>
    </w:p>
    <w:p>
      <w:r>
        <w:rPr>
          <w:b/>
        </w:rPr>
        <w:t>Next step:</w:t>
      </w:r>
      <w:r>
        <w:rPr>
          <w:b w:val="0"/>
        </w:rPr>
        <w:t xml:space="preserve"> Review the scope and pricing, confirm product selections and site access, then approve the proposal to arrange procurement and scheduling.</w:t>
      </w:r>
    </w:p>
    <w:p>
      <w:pPr>
        <w:spacing w:line="264" w:lineRule="auto" w:after="120"/>
      </w:pPr>
      <w:r>
        <w:rPr>
          <w:b w:val="0"/>
          <w:color w:val="58645D"/>
          <w:sz w:val="16"/>
        </w:rPr>
        <w:t>This is a fictional project example. Quantities, product specifications, prices and operating schedules illustrate a completed proposal; they are not a supplier quotation or measured case study.</w:t>
      </w:r>
    </w:p>
    <w:p>
      <w:r>
        <w:br w:type="page"/>
      </w:r>
    </w:p>
    <w:p>
      <w:pPr>
        <w:spacing w:after="140"/>
      </w:pPr>
      <w:r>
        <w:rPr>
          <w:b/>
          <w:color w:val="000000"/>
          <w:sz w:val="17"/>
        </w:rPr>
        <w:t>01  PROJECT SCOPE</w:t>
      </w:r>
    </w:p>
    <w:p>
      <w:pPr>
        <w:pStyle w:val="Title"/>
      </w:pPr>
      <w:r>
        <w:rPr>
          <w:sz w:val="46"/>
        </w:rPr>
        <w:t>Equipment and installation</w:t>
      </w:r>
    </w:p>
    <w:p>
      <w:r>
        <w:rPr>
          <w:b w:val="0"/>
        </w:rPr>
        <w:t>Replace the fixtures listed below in their existing positions. Proposed fixtures are specified at 4000 K with compatible dimming drivers where controls require them. Exact models and cut sheets will be submitted for approval.</w:t>
      </w:r>
    </w:p>
    <w:tbl>
      <w:tblPr>
        <w:tblW w:type="auto" w:w="0"/>
        <w:jc w:val="center"/>
        <w:tblLayout w:type="fixed"/>
        <w:tblLook w:firstColumn="1" w:firstRow="1" w:lastColumn="0" w:lastRow="0" w:noHBand="0" w:noVBand="1" w:val="04A0"/>
      </w:tblPr>
      <w:tblGrid>
        <w:gridCol w:w="2160"/>
        <w:gridCol w:w="792"/>
        <w:gridCol w:w="2448"/>
        <w:gridCol w:w="936"/>
        <w:gridCol w:w="3125"/>
        <w:gridCol w:w="936"/>
      </w:tblGrid>
      <w:tr>
        <w:trPr>
          <w:cantSplit/>
          <w:tblHeader/>
        </w:trPr>
        <w:tc>
          <w:tcPr>
            <w:tcW w:type="dxa" w:w="216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Area</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center"/>
            </w:pPr>
            <w:r>
              <w:rPr>
                <w:rFonts w:ascii="DejaVu Sans" w:hAnsi="DejaVu Sans"/>
                <w:b/>
                <w:color w:val="FFFFFF"/>
                <w:sz w:val="16"/>
              </w:rPr>
              <w:t>Qty</w:t>
            </w:r>
          </w:p>
        </w:tc>
        <w:tc>
          <w:tcPr>
            <w:tcW w:type="dxa" w:w="2448"/>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Existing fixture</w:t>
            </w:r>
          </w:p>
        </w:tc>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Old W</w:t>
            </w:r>
          </w:p>
        </w:tc>
        <w:tc>
          <w:tcPr>
            <w:tcW w:type="dxa" w:w="312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LED replacement</w:t>
            </w:r>
          </w:p>
        </w:tc>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LED W</w:t>
            </w:r>
          </w:p>
        </w:tc>
      </w:tr>
      <w:tr>
        <w:trPr>
          <w:cantSplit/>
        </w:trPr>
        <w:tc>
          <w:tcPr>
            <w:tcW w:type="dxa" w:w="216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Open office</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40</w:t>
            </w:r>
          </w:p>
        </w:tc>
        <w:tc>
          <w:tcPr>
            <w:tcW w:type="dxa" w:w="2448"/>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2-lamp T8 troffer</w:t>
            </w:r>
          </w:p>
        </w:tc>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59</w:t>
            </w:r>
          </w:p>
        </w:tc>
        <w:tc>
          <w:tcPr>
            <w:tcW w:type="dxa" w:w="312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2 x 4 LED panel</w:t>
            </w:r>
          </w:p>
        </w:tc>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30</w:t>
            </w:r>
          </w:p>
        </w:tc>
      </w:tr>
      <w:tr>
        <w:trPr>
          <w:cantSplit/>
        </w:trPr>
        <w:tc>
          <w:tcPr>
            <w:tcW w:type="dxa" w:w="216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Meeting rooms</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12</w:t>
            </w:r>
          </w:p>
        </w:tc>
        <w:tc>
          <w:tcPr>
            <w:tcW w:type="dxa" w:w="2448"/>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4-lamp T8 troffer</w:t>
            </w:r>
          </w:p>
        </w:tc>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112</w:t>
            </w:r>
          </w:p>
        </w:tc>
        <w:tc>
          <w:tcPr>
            <w:tcW w:type="dxa" w:w="312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2 x 4 LED panel</w:t>
            </w:r>
          </w:p>
        </w:tc>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36</w:t>
            </w:r>
          </w:p>
        </w:tc>
      </w:tr>
      <w:tr>
        <w:trPr>
          <w:cantSplit/>
        </w:trPr>
        <w:tc>
          <w:tcPr>
            <w:tcW w:type="dxa" w:w="216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Corridors and shared areas</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16</w:t>
            </w:r>
          </w:p>
        </w:tc>
        <w:tc>
          <w:tcPr>
            <w:tcW w:type="dxa" w:w="2448"/>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2-lamp T8 strip</w:t>
            </w:r>
          </w:p>
        </w:tc>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59</w:t>
            </w:r>
          </w:p>
        </w:tc>
        <w:tc>
          <w:tcPr>
            <w:tcW w:type="dxa" w:w="312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LED linear fixture</w:t>
            </w:r>
          </w:p>
        </w:tc>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20</w:t>
            </w:r>
          </w:p>
        </w:tc>
      </w:tr>
      <w:tr>
        <w:trPr>
          <w:cantSplit/>
        </w:trPr>
        <w:tc>
          <w:tcPr>
            <w:tcW w:type="dxa" w:w="216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Warehouse</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24</w:t>
            </w:r>
          </w:p>
        </w:tc>
        <w:tc>
          <w:tcPr>
            <w:tcW w:type="dxa" w:w="2448"/>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Metal halide high bay</w:t>
            </w:r>
          </w:p>
        </w:tc>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458</w:t>
            </w:r>
          </w:p>
        </w:tc>
        <w:tc>
          <w:tcPr>
            <w:tcW w:type="dxa" w:w="312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LED high bay</w:t>
            </w:r>
          </w:p>
        </w:tc>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120</w:t>
            </w:r>
          </w:p>
        </w:tc>
      </w:tr>
    </w:tbl>
    <w:p>
      <w:pPr>
        <w:spacing w:after="0" w:before="0" w:line="240" w:lineRule="auto"/>
      </w:pPr>
      <w:r>
        <w:rPr>
          <w:sz w:val="6"/>
        </w:rPr>
      </w:r>
    </w:p>
    <w:p>
      <w:pPr>
        <w:spacing w:line="264" w:lineRule="auto" w:after="120"/>
      </w:pPr>
      <w:r>
        <w:rPr>
          <w:b w:val="0"/>
          <w:color w:val="58645D"/>
          <w:sz w:val="16"/>
        </w:rPr>
        <w:t>Wattages are full fixture input assumptions, including the ballast or driver. T8 values assume electronic ballasts; confirm on the nameplate. Each existing fixture is replaced by one LED fixture. Light levels and sensor coverage must be checked against the final selected products and site layout.</w:t>
      </w:r>
    </w:p>
    <w:p>
      <w:pPr>
        <w:pStyle w:val="Heading1"/>
      </w:pPr>
      <w:r>
        <w:t>Controls by area</w:t>
      </w:r>
    </w:p>
    <w:tbl>
      <w:tblPr>
        <w:tblW w:type="auto" w:w="0"/>
        <w:jc w:val="center"/>
        <w:tblLayout w:type="fixed"/>
        <w:tblLook w:firstColumn="1" w:firstRow="1" w:lastColumn="0" w:lastRow="0" w:noHBand="0" w:noVBand="1" w:val="04A0"/>
      </w:tblPr>
      <w:tblGrid>
        <w:gridCol w:w="2232"/>
        <w:gridCol w:w="2448"/>
        <w:gridCol w:w="5717"/>
      </w:tblGrid>
      <w:tr>
        <w:trPr>
          <w:cantSplit/>
          <w:tblHeader/>
        </w:trPr>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Area</w:t>
            </w:r>
          </w:p>
        </w:tc>
        <w:tc>
          <w:tcPr>
            <w:tcW w:type="dxa" w:w="2448"/>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New devices</w:t>
            </w:r>
          </w:p>
        </w:tc>
        <w:tc>
          <w:tcPr>
            <w:tcW w:type="dxa" w:w="571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Included control work</w:t>
            </w:r>
          </w:p>
        </w:tc>
      </w:tr>
      <w:tr>
        <w:trPr>
          <w:cantSplit/>
        </w:trPr>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Open office</w:t>
            </w:r>
          </w:p>
        </w:tc>
        <w:tc>
          <w:tcPr>
            <w:tcW w:type="dxa" w:w="2448"/>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4 occupancy + 2 daylight</w:t>
            </w:r>
          </w:p>
        </w:tc>
        <w:tc>
          <w:tcPr>
            <w:tcW w:type="dxa" w:w="571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Group controls and daylight dimming near the window perimeter.</w:t>
            </w:r>
          </w:p>
        </w:tc>
      </w:tr>
      <w:tr>
        <w:trPr>
          <w:cantSplit/>
        </w:trPr>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Meeting rooms</w:t>
            </w:r>
          </w:p>
        </w:tc>
        <w:tc>
          <w:tcPr>
            <w:tcW w:type="dxa" w:w="2448"/>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2 occupancy</w:t>
            </w:r>
          </w:p>
        </w:tc>
        <w:tc>
          <w:tcPr>
            <w:tcW w:type="dxa" w:w="571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One sensor per meeting room; connect to the selected dimming interface.</w:t>
            </w:r>
          </w:p>
        </w:tc>
      </w:tr>
      <w:tr>
        <w:trPr>
          <w:cantSplit/>
        </w:trPr>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Corridors and shared areas</w:t>
            </w:r>
          </w:p>
        </w:tc>
        <w:tc>
          <w:tcPr>
            <w:tcW w:type="dxa" w:w="2448"/>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No new devices</w:t>
            </w:r>
          </w:p>
        </w:tc>
        <w:tc>
          <w:tcPr>
            <w:tcW w:type="dxa" w:w="571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Retain the existing time switch and verify its operation.</w:t>
            </w:r>
          </w:p>
        </w:tc>
      </w:tr>
      <w:tr>
        <w:trPr>
          <w:cantSplit/>
        </w:trPr>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Warehouse</w:t>
            </w:r>
          </w:p>
        </w:tc>
        <w:tc>
          <w:tcPr>
            <w:tcW w:type="dxa" w:w="2448"/>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24 occupancy modules</w:t>
            </w:r>
          </w:p>
        </w:tc>
        <w:tc>
          <w:tcPr>
            <w:tcW w:type="dxa" w:w="571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One compatible module per high bay; adjust coverage and timeout during setup.</w:t>
            </w:r>
          </w:p>
        </w:tc>
      </w:tr>
    </w:tbl>
    <w:p>
      <w:pPr>
        <w:spacing w:after="0" w:before="0" w:line="240" w:lineRule="auto"/>
      </w:pPr>
      <w:r>
        <w:rPr>
          <w:sz w:val="6"/>
        </w:rPr>
      </w:r>
    </w:p>
    <w:p>
      <w:pPr>
        <w:pStyle w:val="Heading1"/>
      </w:pPr>
      <w:r>
        <w:t>Installation included</w:t>
      </w:r>
    </w:p>
    <w:p>
      <w:r>
        <w:rPr>
          <w:b/>
        </w:rPr>
        <w:t>Preparation:</w:t>
      </w:r>
      <w:r>
        <w:rPr>
          <w:b w:val="0"/>
        </w:rPr>
        <w:t xml:space="preserve"> Confirm dimensions, voltage, circuit condition and product compatibility. Coordinate shutdowns with the facilities team and obtain the electrical permit the jurisdiction requires.</w:t>
      </w:r>
    </w:p>
    <w:p>
      <w:r>
        <w:rPr>
          <w:b/>
        </w:rPr>
        <w:t>Installation:</w:t>
      </w:r>
      <w:r>
        <w:rPr>
          <w:b w:val="0"/>
        </w:rPr>
        <w:t xml:space="preserve"> Safely isolate the work areas, remove the listed fixtures, install replacements and controls, reuse suitable existing connections and remove the resulting waste. The price includes two days of lift rental and standard mounting hardware.</w:t>
      </w:r>
    </w:p>
    <w:p>
      <w:r>
        <w:rPr>
          <w:b/>
        </w:rPr>
        <w:t>Handover:</w:t>
      </w:r>
      <w:r>
        <w:rPr>
          <w:b w:val="0"/>
        </w:rPr>
        <w:t xml:space="preserve"> Test fixture operation, adjust controls, complete a walkthrough and provide the fixture schedule, warranty information and the inspection sign-off where one applies.</w:t>
      </w:r>
    </w:p>
    <w:p>
      <w:r>
        <w:br w:type="page"/>
      </w:r>
    </w:p>
    <w:p>
      <w:pPr>
        <w:spacing w:after="140"/>
      </w:pPr>
      <w:r>
        <w:rPr>
          <w:b/>
          <w:color w:val="000000"/>
          <w:sz w:val="17"/>
        </w:rPr>
        <w:t>02  PROJECT PRICE</w:t>
      </w:r>
    </w:p>
    <w:p>
      <w:pPr>
        <w:pStyle w:val="Title"/>
      </w:pPr>
      <w:r>
        <w:rPr>
          <w:sz w:val="46"/>
        </w:rPr>
        <w:t>Itemized pricing</w:t>
      </w:r>
    </w:p>
    <w:p>
      <w:r>
        <w:rPr>
          <w:b w:val="0"/>
        </w:rPr>
        <w:t>All prices are in US dollars. Equipment and labor are listed separately so quantities and the work included can be checked against the scope.</w:t>
      </w:r>
    </w:p>
    <w:tbl>
      <w:tblPr>
        <w:tblW w:type="auto" w:w="0"/>
        <w:jc w:val="center"/>
        <w:tblLayout w:type="fixed"/>
        <w:tblLook w:firstColumn="1" w:firstRow="1" w:lastColumn="0" w:lastRow="0" w:noHBand="0" w:noVBand="1" w:val="04A0"/>
      </w:tblPr>
      <w:tblGrid>
        <w:gridCol w:w="4752"/>
        <w:gridCol w:w="792"/>
        <w:gridCol w:w="864"/>
        <w:gridCol w:w="1757"/>
        <w:gridCol w:w="2232"/>
      </w:tblGrid>
      <w:tr>
        <w:trPr>
          <w:cantSplit/>
          <w:tblHeader/>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Item</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Qty</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center"/>
            </w:pPr>
            <w:r>
              <w:rPr>
                <w:rFonts w:ascii="DejaVu Sans" w:hAnsi="DejaVu Sans"/>
                <w:b/>
                <w:color w:val="FFFFFF"/>
                <w:sz w:val="16"/>
              </w:rPr>
              <w:t>Unit</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Unit price</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Amount</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Office LED panels</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40</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each</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$65.00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$2,600.00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Meeting room LED panels</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12</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each</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$80.00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$960.00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Corridor LED linear fixtures</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16</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each</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$55.00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$880.00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Warehouse LED high bays</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24</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each</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$190.00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$4,560.00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Occupancy sensors / compatible modules</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30</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each</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$75.00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$2,250.00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Daylight sensors</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2</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each</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$120.00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$240.00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Fixture removal and installation labor</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92</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each</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$65.00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$5,980.00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Control installation labor</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32</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each</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$45.00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$1,440.00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Lift rental</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days</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$250.00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$500.00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Removed equipment disposal</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92</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each</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$6.00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$552.00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Electrical permit and inspection allowance</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1</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lot</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$350.00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$350.00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Controls programming and functional checks</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1</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lot</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$450.00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$450.00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Closeout records and owner orientation</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1</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lot</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$250.00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$250.00</w:t>
            </w:r>
          </w:p>
        </w:tc>
      </w:tr>
      <w:tr>
        <w:trPr>
          <w:cantSplit/>
        </w:trPr>
        <w:tc>
          <w:tcPr>
            <w:tcW w:type="dxa" w:w="475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Project coordination</w:t>
            </w:r>
          </w:p>
        </w:tc>
        <w:tc>
          <w:tcPr>
            <w:tcW w:type="dxa" w:w="79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1</w:t>
            </w:r>
          </w:p>
        </w:tc>
        <w:tc>
          <w:tcPr>
            <w:tcW w:type="dxa" w:w="86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lot</w:t>
            </w:r>
          </w:p>
        </w:tc>
        <w:tc>
          <w:tcPr>
            <w:tcW w:type="dxa" w:w="175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$700.00</w:t>
            </w:r>
          </w:p>
        </w:tc>
        <w:tc>
          <w:tcPr>
            <w:tcW w:type="dxa" w:w="223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$700.00</w:t>
            </w:r>
          </w:p>
        </w:tc>
      </w:tr>
    </w:tbl>
    <w:p>
      <w:pPr>
        <w:spacing w:after="0" w:before="0" w:line="240" w:lineRule="auto"/>
      </w:pPr>
      <w:r>
        <w:rPr>
          <w:sz w:val="6"/>
        </w:rPr>
      </w:r>
    </w:p>
    <w:tbl>
      <w:tblPr>
        <w:tblW w:type="auto" w:w="0"/>
        <w:jc w:val="center"/>
        <w:tblLayout w:type="fixed"/>
        <w:tblLook w:firstColumn="1" w:firstRow="1" w:lastColumn="0" w:lastRow="0" w:noHBand="0" w:noVBand="1" w:val="04A0"/>
      </w:tblPr>
      <w:tblGrid>
        <w:gridCol w:w="7272"/>
        <w:gridCol w:w="3125"/>
      </w:tblGrid>
      <w:tr>
        <w:trPr>
          <w:cantSplit/>
          <w:tblHeader/>
        </w:trPr>
        <w:tc>
          <w:tcPr>
            <w:tcW w:type="dxa" w:w="727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Price summary</w:t>
            </w:r>
          </w:p>
        </w:tc>
        <w:tc>
          <w:tcPr>
            <w:tcW w:type="dxa" w:w="312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Amount</w:t>
            </w:r>
          </w:p>
        </w:tc>
      </w:tr>
      <w:tr>
        <w:trPr>
          <w:cantSplit/>
        </w:trPr>
        <w:tc>
          <w:tcPr>
            <w:tcW w:type="dxa" w:w="727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Subtotal before tax</w:t>
            </w:r>
          </w:p>
        </w:tc>
        <w:tc>
          <w:tcPr>
            <w:tcW w:type="dxa" w:w="312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$21,712.00</w:t>
            </w:r>
          </w:p>
        </w:tc>
      </w:tr>
      <w:tr>
        <w:trPr>
          <w:cantSplit/>
        </w:trPr>
        <w:tc>
          <w:tcPr>
            <w:tcW w:type="dxa" w:w="727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Sales tax on materials at 6% (example)</w:t>
            </w:r>
          </w:p>
        </w:tc>
        <w:tc>
          <w:tcPr>
            <w:tcW w:type="dxa" w:w="312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$689.40</w:t>
            </w:r>
          </w:p>
        </w:tc>
      </w:tr>
      <w:tr>
        <w:trPr>
          <w:cantSplit/>
        </w:trPr>
        <w:tc>
          <w:tcPr>
            <w:tcW w:type="dxa" w:w="727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Total project price including tax</w:t>
            </w:r>
          </w:p>
        </w:tc>
        <w:tc>
          <w:tcPr>
            <w:tcW w:type="dxa" w:w="312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$22,401.40</w:t>
            </w:r>
          </w:p>
        </w:tc>
      </w:tr>
    </w:tbl>
    <w:p>
      <w:pPr>
        <w:spacing w:after="0" w:before="0" w:line="240" w:lineRule="auto"/>
      </w:pPr>
      <w:r>
        <w:rPr>
          <w:sz w:val="6"/>
        </w:rPr>
      </w:r>
    </w:p>
    <w:p>
      <w:pPr>
        <w:spacing w:line="264" w:lineRule="auto" w:after="120"/>
      </w:pPr>
      <w:r>
        <w:rPr>
          <w:b/>
          <w:color w:val="58645D"/>
          <w:sz w:val="16"/>
        </w:rPr>
        <w:t>Allowance:</w:t>
      </w:r>
      <w:r>
        <w:rPr>
          <w:b w:val="0"/>
          <w:color w:val="58645D"/>
          <w:sz w:val="16"/>
        </w:rPr>
        <w:t xml:space="preserve"> The permit and inspection line is a $350 budget, not a published fee. Adjustments require written approval.</w:t>
      </w:r>
      <w:r>
        <w:rPr>
          <w:color w:val="58645D"/>
          <w:sz w:val="16"/>
        </w:rPr>
        <w:br/>
      </w:r>
      <w:r>
        <w:rPr>
          <w:b/>
          <w:color w:val="58645D"/>
          <w:sz w:val="16"/>
        </w:rPr>
        <w:t>Rebates:</w:t>
      </w:r>
      <w:r>
        <w:rPr>
          <w:b w:val="0"/>
          <w:color w:val="58645D"/>
          <w:sz w:val="16"/>
        </w:rPr>
        <w:t xml:space="preserve"> None deducted. Confirm eligibility and any required pre-approval before procurement.</w:t>
      </w:r>
      <w:r>
        <w:rPr>
          <w:color w:val="58645D"/>
          <w:sz w:val="16"/>
        </w:rPr>
        <w:br/>
      </w:r>
      <w:r>
        <w:rPr>
          <w:b/>
          <w:color w:val="58645D"/>
          <w:sz w:val="16"/>
        </w:rPr>
        <w:t>Sales tax:</w:t>
      </w:r>
      <w:r>
        <w:rPr>
          <w:b w:val="0"/>
          <w:color w:val="58645D"/>
          <w:sz w:val="16"/>
        </w:rPr>
        <w:t xml:space="preserve"> Rules for construction work vary by state. This example taxes materials only, at 6%. Set the rate and the taxable lines for the project.</w:t>
      </w:r>
    </w:p>
    <w:p>
      <w:r>
        <w:br w:type="page"/>
      </w:r>
    </w:p>
    <w:p>
      <w:pPr>
        <w:spacing w:after="140"/>
      </w:pPr>
      <w:r>
        <w:rPr>
          <w:b/>
          <w:color w:val="000000"/>
          <w:sz w:val="17"/>
        </w:rPr>
        <w:t>03  ENERGY AND CASH FLOW</w:t>
      </w:r>
    </w:p>
    <w:p>
      <w:pPr>
        <w:pStyle w:val="Title"/>
      </w:pPr>
      <w:r>
        <w:rPr>
          <w:sz w:val="46"/>
        </w:rPr>
        <w:t>Savings assumptions and payback</w:t>
      </w:r>
    </w:p>
    <w:p>
      <w:r>
        <w:rPr>
          <w:b w:val="0"/>
        </w:rPr>
        <w:t xml:space="preserve">The estimate compares existing and proposed fixture wattage at the same operating hours. The assumed avoidable electricity charge is </w:t>
      </w:r>
      <w:r>
        <w:rPr>
          <w:b/>
        </w:rPr>
        <w:t>$0.15 per kWh</w:t>
      </w:r>
      <w:r>
        <w:rPr>
          <w:b w:val="0"/>
        </w:rPr>
        <w:t>. Demand charges, maintenance savings, controls savings, rate escalation and rebates are excluded.</w:t>
      </w:r>
    </w:p>
    <w:tbl>
      <w:tblPr>
        <w:tblW w:type="auto" w:w="0"/>
        <w:jc w:val="center"/>
        <w:tblLayout w:type="fixed"/>
        <w:tblLook w:firstColumn="1" w:firstRow="1" w:lastColumn="0" w:lastRow="0" w:noHBand="0" w:noVBand="1" w:val="04A0"/>
      </w:tblPr>
      <w:tblGrid>
        <w:gridCol w:w="3024"/>
        <w:gridCol w:w="1440"/>
        <w:gridCol w:w="1973"/>
        <w:gridCol w:w="1901"/>
        <w:gridCol w:w="2059"/>
      </w:tblGrid>
      <w:tr>
        <w:trPr>
          <w:cantSplit/>
          <w:tblHeader/>
        </w:trPr>
        <w:tc>
          <w:tcPr>
            <w:tcW w:type="dxa" w:w="302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Area</w:t>
            </w:r>
          </w:p>
        </w:tc>
        <w:tc>
          <w:tcPr>
            <w:tcW w:type="dxa" w:w="144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Hours / year</w:t>
            </w:r>
          </w:p>
        </w:tc>
        <w:tc>
          <w:tcPr>
            <w:tcW w:type="dxa" w:w="197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Existing kWh</w:t>
            </w:r>
          </w:p>
        </w:tc>
        <w:tc>
          <w:tcPr>
            <w:tcW w:type="dxa" w:w="1901"/>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LED kWh</w:t>
            </w:r>
          </w:p>
        </w:tc>
        <w:tc>
          <w:tcPr>
            <w:tcW w:type="dxa" w:w="2059"/>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Saved kWh</w:t>
            </w:r>
          </w:p>
        </w:tc>
      </w:tr>
      <w:tr>
        <w:trPr>
          <w:cantSplit/>
        </w:trPr>
        <w:tc>
          <w:tcPr>
            <w:tcW w:type="dxa" w:w="302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Open office</w:t>
            </w:r>
          </w:p>
        </w:tc>
        <w:tc>
          <w:tcPr>
            <w:tcW w:type="dxa" w:w="144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3,120</w:t>
            </w:r>
          </w:p>
        </w:tc>
        <w:tc>
          <w:tcPr>
            <w:tcW w:type="dxa" w:w="197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7,363.20</w:t>
            </w:r>
          </w:p>
        </w:tc>
        <w:tc>
          <w:tcPr>
            <w:tcW w:type="dxa" w:w="1901"/>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3,744.00</w:t>
            </w:r>
          </w:p>
        </w:tc>
        <w:tc>
          <w:tcPr>
            <w:tcW w:type="dxa" w:w="2059"/>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3,619.20</w:t>
            </w:r>
          </w:p>
        </w:tc>
      </w:tr>
      <w:tr>
        <w:trPr>
          <w:cantSplit/>
        </w:trPr>
        <w:tc>
          <w:tcPr>
            <w:tcW w:type="dxa" w:w="302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Meeting rooms</w:t>
            </w:r>
          </w:p>
        </w:tc>
        <w:tc>
          <w:tcPr>
            <w:tcW w:type="dxa" w:w="144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2,600</w:t>
            </w:r>
          </w:p>
        </w:tc>
        <w:tc>
          <w:tcPr>
            <w:tcW w:type="dxa" w:w="197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3,494.40</w:t>
            </w:r>
          </w:p>
        </w:tc>
        <w:tc>
          <w:tcPr>
            <w:tcW w:type="dxa" w:w="1901"/>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1,123.20</w:t>
            </w:r>
          </w:p>
        </w:tc>
        <w:tc>
          <w:tcPr>
            <w:tcW w:type="dxa" w:w="2059"/>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2,371.20</w:t>
            </w:r>
          </w:p>
        </w:tc>
      </w:tr>
      <w:tr>
        <w:trPr>
          <w:cantSplit/>
        </w:trPr>
        <w:tc>
          <w:tcPr>
            <w:tcW w:type="dxa" w:w="302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Corridors and shared areas</w:t>
            </w:r>
          </w:p>
        </w:tc>
        <w:tc>
          <w:tcPr>
            <w:tcW w:type="dxa" w:w="144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4,160</w:t>
            </w:r>
          </w:p>
        </w:tc>
        <w:tc>
          <w:tcPr>
            <w:tcW w:type="dxa" w:w="197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3,927.04</w:t>
            </w:r>
          </w:p>
        </w:tc>
        <w:tc>
          <w:tcPr>
            <w:tcW w:type="dxa" w:w="1901"/>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1,331.20</w:t>
            </w:r>
          </w:p>
        </w:tc>
        <w:tc>
          <w:tcPr>
            <w:tcW w:type="dxa" w:w="2059"/>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2,595.84</w:t>
            </w:r>
          </w:p>
        </w:tc>
      </w:tr>
      <w:tr>
        <w:trPr>
          <w:cantSplit/>
        </w:trPr>
        <w:tc>
          <w:tcPr>
            <w:tcW w:type="dxa" w:w="302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Warehouse</w:t>
            </w:r>
          </w:p>
        </w:tc>
        <w:tc>
          <w:tcPr>
            <w:tcW w:type="dxa" w:w="144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4,160</w:t>
            </w:r>
          </w:p>
        </w:tc>
        <w:tc>
          <w:tcPr>
            <w:tcW w:type="dxa" w:w="197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45,726.72</w:t>
            </w:r>
          </w:p>
        </w:tc>
        <w:tc>
          <w:tcPr>
            <w:tcW w:type="dxa" w:w="1901"/>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11,980.80</w:t>
            </w:r>
          </w:p>
        </w:tc>
        <w:tc>
          <w:tcPr>
            <w:tcW w:type="dxa" w:w="2059"/>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33,745.92</w:t>
            </w:r>
          </w:p>
        </w:tc>
      </w:tr>
      <w:tr>
        <w:trPr>
          <w:cantSplit/>
        </w:trPr>
        <w:tc>
          <w:tcPr>
            <w:tcW w:type="dxa" w:w="3024"/>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Total</w:t>
            </w:r>
          </w:p>
        </w:tc>
        <w:tc>
          <w:tcPr>
            <w:tcW w:type="dxa" w:w="144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r>
          </w:p>
        </w:tc>
        <w:tc>
          <w:tcPr>
            <w:tcW w:type="dxa" w:w="197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60,511.36</w:t>
            </w:r>
          </w:p>
        </w:tc>
        <w:tc>
          <w:tcPr>
            <w:tcW w:type="dxa" w:w="1901"/>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18,179.20</w:t>
            </w:r>
          </w:p>
        </w:tc>
        <w:tc>
          <w:tcPr>
            <w:tcW w:type="dxa" w:w="2059"/>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42,332.16</w:t>
            </w:r>
          </w:p>
        </w:tc>
      </w:tr>
    </w:tbl>
    <w:p>
      <w:pPr>
        <w:spacing w:after="0" w:before="0" w:line="240" w:lineRule="auto"/>
      </w:pPr>
      <w:r>
        <w:rPr>
          <w:sz w:val="6"/>
        </w:rPr>
      </w:r>
    </w:p>
    <w:p>
      <w:pPr>
        <w:spacing w:line="264" w:lineRule="auto" w:after="120"/>
      </w:pPr>
      <w:r>
        <w:rPr>
          <w:b/>
          <w:color w:val="58645D"/>
          <w:sz w:val="16"/>
        </w:rPr>
        <w:t>Annual savings:</w:t>
      </w:r>
      <w:r>
        <w:rPr>
          <w:b w:val="0"/>
          <w:color w:val="58645D"/>
          <w:sz w:val="16"/>
        </w:rPr>
        <w:t xml:space="preserve"> 42,332.16 kWh x $0.15 = $6,349.82.</w:t>
      </w:r>
      <w:r>
        <w:rPr>
          <w:color w:val="58645D"/>
          <w:sz w:val="16"/>
        </w:rPr>
        <w:br/>
      </w:r>
      <w:r>
        <w:rPr>
          <w:b/>
          <w:color w:val="58645D"/>
          <w:sz w:val="16"/>
        </w:rPr>
        <w:t>Simple payback:</w:t>
      </w:r>
      <w:r>
        <w:rPr>
          <w:b w:val="0"/>
          <w:color w:val="58645D"/>
          <w:sz w:val="16"/>
        </w:rPr>
        <w:t xml:space="preserve"> $22,401.40 including tax / $6,349.82 = 3.53 years. This model includes sales tax in the upfront cost.</w:t>
      </w:r>
    </w:p>
    <w:p>
      <w:pPr>
        <w:pStyle w:val="Heading1"/>
      </w:pPr>
      <w:r>
        <w:t>Ten year cash flow</w:t>
      </w:r>
    </w:p>
    <w:tbl>
      <w:tblPr>
        <w:tblW w:type="auto" w:w="0"/>
        <w:jc w:val="center"/>
        <w:tblLayout w:type="fixed"/>
        <w:tblLook w:firstColumn="1" w:firstRow="1" w:lastColumn="0" w:lastRow="0" w:noHBand="0" w:noVBand="1" w:val="04A0"/>
      </w:tblPr>
      <w:tblGrid>
        <w:gridCol w:w="936"/>
        <w:gridCol w:w="2995"/>
        <w:gridCol w:w="2923"/>
        <w:gridCol w:w="3542"/>
      </w:tblGrid>
      <w:tr>
        <w:trPr>
          <w:cantSplit/>
          <w:tblHeader/>
        </w:trPr>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center"/>
            </w:pPr>
            <w:r>
              <w:rPr>
                <w:rFonts w:ascii="DejaVu Sans" w:hAnsi="DejaVu Sans"/>
                <w:b/>
                <w:color w:val="FFFFFF"/>
                <w:sz w:val="16"/>
              </w:rPr>
              <w:t>Year</w:t>
            </w:r>
          </w:p>
        </w:tc>
        <w:tc>
          <w:tcPr>
            <w:tcW w:type="dxa" w:w="299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Annual energy savings</w:t>
            </w:r>
          </w:p>
        </w:tc>
        <w:tc>
          <w:tcPr>
            <w:tcW w:type="dxa" w:w="292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Cumulative savings</w:t>
            </w:r>
          </w:p>
        </w:tc>
        <w:tc>
          <w:tcPr>
            <w:tcW w:type="dxa" w:w="354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right"/>
            </w:pPr>
            <w:r>
              <w:rPr>
                <w:rFonts w:ascii="DejaVu Sans" w:hAnsi="DejaVu Sans"/>
                <w:b/>
                <w:color w:val="FFFFFF"/>
                <w:sz w:val="16"/>
              </w:rPr>
              <w:t>Net after project cost</w:t>
            </w:r>
          </w:p>
        </w:tc>
      </w:tr>
      <w:tr>
        <w:trPr>
          <w:cantSplit/>
        </w:trPr>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0</w:t>
            </w:r>
          </w:p>
        </w:tc>
        <w:tc>
          <w:tcPr>
            <w:tcW w:type="dxa" w:w="299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$0.00</w:t>
            </w:r>
          </w:p>
        </w:tc>
        <w:tc>
          <w:tcPr>
            <w:tcW w:type="dxa" w:w="292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$0.00</w:t>
            </w:r>
          </w:p>
        </w:tc>
        <w:tc>
          <w:tcPr>
            <w:tcW w:type="dxa" w:w="354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-$22,401.40</w:t>
            </w:r>
          </w:p>
        </w:tc>
      </w:tr>
      <w:tr>
        <w:trPr>
          <w:cantSplit/>
        </w:trPr>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1</w:t>
            </w:r>
          </w:p>
        </w:tc>
        <w:tc>
          <w:tcPr>
            <w:tcW w:type="dxa" w:w="299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$6,349.82</w:t>
            </w:r>
          </w:p>
        </w:tc>
        <w:tc>
          <w:tcPr>
            <w:tcW w:type="dxa" w:w="292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$6,349.82</w:t>
            </w:r>
          </w:p>
        </w:tc>
        <w:tc>
          <w:tcPr>
            <w:tcW w:type="dxa" w:w="354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-$16,051.58</w:t>
            </w:r>
          </w:p>
        </w:tc>
      </w:tr>
      <w:tr>
        <w:trPr>
          <w:cantSplit/>
        </w:trPr>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2</w:t>
            </w:r>
          </w:p>
        </w:tc>
        <w:tc>
          <w:tcPr>
            <w:tcW w:type="dxa" w:w="299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$6,349.82</w:t>
            </w:r>
          </w:p>
        </w:tc>
        <w:tc>
          <w:tcPr>
            <w:tcW w:type="dxa" w:w="292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$12,699.64</w:t>
            </w:r>
          </w:p>
        </w:tc>
        <w:tc>
          <w:tcPr>
            <w:tcW w:type="dxa" w:w="354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-$9,701.76</w:t>
            </w:r>
          </w:p>
        </w:tc>
      </w:tr>
      <w:tr>
        <w:trPr>
          <w:cantSplit/>
        </w:trPr>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3</w:t>
            </w:r>
          </w:p>
        </w:tc>
        <w:tc>
          <w:tcPr>
            <w:tcW w:type="dxa" w:w="299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$6,349.82</w:t>
            </w:r>
          </w:p>
        </w:tc>
        <w:tc>
          <w:tcPr>
            <w:tcW w:type="dxa" w:w="292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$19,049.46</w:t>
            </w:r>
          </w:p>
        </w:tc>
        <w:tc>
          <w:tcPr>
            <w:tcW w:type="dxa" w:w="354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-$3,351.94</w:t>
            </w:r>
          </w:p>
        </w:tc>
      </w:tr>
      <w:tr>
        <w:trPr>
          <w:cantSplit/>
        </w:trPr>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4</w:t>
            </w:r>
          </w:p>
        </w:tc>
        <w:tc>
          <w:tcPr>
            <w:tcW w:type="dxa" w:w="299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$6,349.82</w:t>
            </w:r>
          </w:p>
        </w:tc>
        <w:tc>
          <w:tcPr>
            <w:tcW w:type="dxa" w:w="292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$25,399.28</w:t>
            </w:r>
          </w:p>
        </w:tc>
        <w:tc>
          <w:tcPr>
            <w:tcW w:type="dxa" w:w="354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$2,997.88</w:t>
            </w:r>
          </w:p>
        </w:tc>
      </w:tr>
      <w:tr>
        <w:trPr>
          <w:cantSplit/>
        </w:trPr>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5</w:t>
            </w:r>
          </w:p>
        </w:tc>
        <w:tc>
          <w:tcPr>
            <w:tcW w:type="dxa" w:w="299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$6,349.82</w:t>
            </w:r>
          </w:p>
        </w:tc>
        <w:tc>
          <w:tcPr>
            <w:tcW w:type="dxa" w:w="292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$31,749.10</w:t>
            </w:r>
          </w:p>
        </w:tc>
        <w:tc>
          <w:tcPr>
            <w:tcW w:type="dxa" w:w="354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$9,347.70</w:t>
            </w:r>
          </w:p>
        </w:tc>
      </w:tr>
      <w:tr>
        <w:trPr>
          <w:cantSplit/>
        </w:trPr>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6</w:t>
            </w:r>
          </w:p>
        </w:tc>
        <w:tc>
          <w:tcPr>
            <w:tcW w:type="dxa" w:w="299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$6,349.82</w:t>
            </w:r>
          </w:p>
        </w:tc>
        <w:tc>
          <w:tcPr>
            <w:tcW w:type="dxa" w:w="292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$38,098.92</w:t>
            </w:r>
          </w:p>
        </w:tc>
        <w:tc>
          <w:tcPr>
            <w:tcW w:type="dxa" w:w="354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$15,697.52</w:t>
            </w:r>
          </w:p>
        </w:tc>
      </w:tr>
      <w:tr>
        <w:trPr>
          <w:cantSplit/>
        </w:trPr>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7</w:t>
            </w:r>
          </w:p>
        </w:tc>
        <w:tc>
          <w:tcPr>
            <w:tcW w:type="dxa" w:w="299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$6,349.82</w:t>
            </w:r>
          </w:p>
        </w:tc>
        <w:tc>
          <w:tcPr>
            <w:tcW w:type="dxa" w:w="292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$44,448.74</w:t>
            </w:r>
          </w:p>
        </w:tc>
        <w:tc>
          <w:tcPr>
            <w:tcW w:type="dxa" w:w="354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$22,047.34</w:t>
            </w:r>
          </w:p>
        </w:tc>
      </w:tr>
      <w:tr>
        <w:trPr>
          <w:cantSplit/>
        </w:trPr>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8</w:t>
            </w:r>
          </w:p>
        </w:tc>
        <w:tc>
          <w:tcPr>
            <w:tcW w:type="dxa" w:w="299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$6,349.82</w:t>
            </w:r>
          </w:p>
        </w:tc>
        <w:tc>
          <w:tcPr>
            <w:tcW w:type="dxa" w:w="292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$50,798.56</w:t>
            </w:r>
          </w:p>
        </w:tc>
        <w:tc>
          <w:tcPr>
            <w:tcW w:type="dxa" w:w="354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$28,397.16</w:t>
            </w:r>
          </w:p>
        </w:tc>
      </w:tr>
      <w:tr>
        <w:trPr>
          <w:cantSplit/>
        </w:trPr>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center"/>
            </w:pPr>
            <w:r>
              <w:rPr>
                <w:rFonts w:ascii="DejaVu Sans" w:hAnsi="DejaVu Sans"/>
                <w:b w:val="0"/>
                <w:color w:val="16201C"/>
                <w:sz w:val="18"/>
              </w:rPr>
              <w:t>9</w:t>
            </w:r>
          </w:p>
        </w:tc>
        <w:tc>
          <w:tcPr>
            <w:tcW w:type="dxa" w:w="299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$6,349.82</w:t>
            </w:r>
          </w:p>
        </w:tc>
        <w:tc>
          <w:tcPr>
            <w:tcW w:type="dxa" w:w="292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$57,148.38</w:t>
            </w:r>
          </w:p>
        </w:tc>
        <w:tc>
          <w:tcPr>
            <w:tcW w:type="dxa" w:w="354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right"/>
            </w:pPr>
            <w:r>
              <w:rPr>
                <w:rFonts w:ascii="DejaVu Sans" w:hAnsi="DejaVu Sans"/>
                <w:b w:val="0"/>
                <w:color w:val="16201C"/>
                <w:sz w:val="18"/>
              </w:rPr>
              <w:t>$34,746.98</w:t>
            </w:r>
          </w:p>
        </w:tc>
      </w:tr>
      <w:tr>
        <w:trPr>
          <w:cantSplit/>
        </w:trPr>
        <w:tc>
          <w:tcPr>
            <w:tcW w:type="dxa" w:w="936"/>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center"/>
            </w:pPr>
            <w:r>
              <w:rPr>
                <w:rFonts w:ascii="DejaVu Sans" w:hAnsi="DejaVu Sans"/>
                <w:b w:val="0"/>
                <w:color w:val="16201C"/>
                <w:sz w:val="18"/>
              </w:rPr>
              <w:t>10</w:t>
            </w:r>
          </w:p>
        </w:tc>
        <w:tc>
          <w:tcPr>
            <w:tcW w:type="dxa" w:w="2995"/>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$6,349.82</w:t>
            </w:r>
          </w:p>
        </w:tc>
        <w:tc>
          <w:tcPr>
            <w:tcW w:type="dxa" w:w="2923"/>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$63,498.20</w:t>
            </w:r>
          </w:p>
        </w:tc>
        <w:tc>
          <w:tcPr>
            <w:tcW w:type="dxa" w:w="3542"/>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right"/>
            </w:pPr>
            <w:r>
              <w:rPr>
                <w:rFonts w:ascii="DejaVu Sans" w:hAnsi="DejaVu Sans"/>
                <w:b w:val="0"/>
                <w:color w:val="16201C"/>
                <w:sz w:val="18"/>
              </w:rPr>
              <w:t>$41,096.80</w:t>
            </w:r>
          </w:p>
        </w:tc>
      </w:tr>
    </w:tbl>
    <w:p>
      <w:pPr>
        <w:spacing w:after="0" w:before="0" w:line="240" w:lineRule="auto"/>
      </w:pPr>
      <w:r>
        <w:rPr>
          <w:sz w:val="6"/>
        </w:rPr>
      </w:r>
    </w:p>
    <w:p>
      <w:pPr>
        <w:spacing w:line="264" w:lineRule="auto" w:after="120"/>
      </w:pPr>
      <w:r>
        <w:rPr>
          <w:b w:val="0"/>
          <w:color w:val="58645D"/>
          <w:sz w:val="16"/>
        </w:rPr>
        <w:t>The initial project cost occurs in Year 0. The model turns positive during Year 4. Annual savings are held at $6,349.82 for all ten years, with no discounting, financing, equipment replacement costs or tax incentives. Actual cash flow will vary with operation, rates and equipment performance.</w:t>
      </w:r>
    </w:p>
    <w:p>
      <w:r>
        <w:br w:type="page"/>
      </w:r>
    </w:p>
    <w:p>
      <w:pPr>
        <w:spacing w:after="140"/>
      </w:pPr>
      <w:r>
        <w:rPr>
          <w:b/>
          <w:color w:val="000000"/>
          <w:sz w:val="17"/>
        </w:rPr>
        <w:t>04  SCHEDULE AND ACCEPTANCE</w:t>
      </w:r>
    </w:p>
    <w:p>
      <w:pPr>
        <w:pStyle w:val="Title"/>
      </w:pPr>
      <w:r>
        <w:rPr>
          <w:sz w:val="46"/>
        </w:rPr>
        <w:t>Project terms and approval</w:t>
      </w:r>
    </w:p>
    <w:tbl>
      <w:tblPr>
        <w:tblW w:type="auto" w:w="0"/>
        <w:jc w:val="center"/>
        <w:tblLayout w:type="fixed"/>
        <w:tblLook w:firstColumn="1" w:firstRow="1" w:lastColumn="0" w:lastRow="0" w:noHBand="0" w:noVBand="1" w:val="04A0"/>
      </w:tblPr>
      <w:tblGrid>
        <w:gridCol w:w="4320"/>
        <w:gridCol w:w="6077"/>
      </w:tblGrid>
      <w:tr>
        <w:trPr>
          <w:cantSplit/>
          <w:tblHeader/>
        </w:trPr>
        <w:tc>
          <w:tcPr>
            <w:tcW w:type="dxa" w:w="432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Stage</w:t>
            </w:r>
          </w:p>
        </w:tc>
        <w:tc>
          <w:tcPr>
            <w:tcW w:type="dxa" w:w="607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16201C"/>
          </w:tcPr>
          <w:p>
            <w:pPr>
              <w:spacing w:before="0" w:after="0" w:line="264" w:lineRule="auto"/>
              <w:jc w:val="left"/>
            </w:pPr>
            <w:r>
              <w:rPr>
                <w:rFonts w:ascii="DejaVu Sans" w:hAnsi="DejaVu Sans"/>
                <w:b/>
                <w:color w:val="FFFFFF"/>
                <w:sz w:val="16"/>
              </w:rPr>
              <w:t>Proposed timing</w:t>
            </w:r>
          </w:p>
        </w:tc>
      </w:tr>
      <w:tr>
        <w:trPr>
          <w:cantSplit/>
        </w:trPr>
        <w:tc>
          <w:tcPr>
            <w:tcW w:type="dxa" w:w="432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Site and product confirmation</w:t>
            </w:r>
          </w:p>
        </w:tc>
        <w:tc>
          <w:tcPr>
            <w:tcW w:type="dxa" w:w="607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Within 5 business days of approval</w:t>
            </w:r>
          </w:p>
        </w:tc>
      </w:tr>
      <w:tr>
        <w:trPr>
          <w:cantSplit/>
        </w:trPr>
        <w:tc>
          <w:tcPr>
            <w:tcW w:type="dxa" w:w="432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Procurement</w:t>
            </w:r>
          </w:p>
        </w:tc>
        <w:tc>
          <w:tcPr>
            <w:tcW w:type="dxa" w:w="607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Allow 2 to 3 weeks after product approval</w:t>
            </w:r>
          </w:p>
        </w:tc>
      </w:tr>
      <w:tr>
        <w:trPr>
          <w:cantSplit/>
        </w:trPr>
        <w:tc>
          <w:tcPr>
            <w:tcW w:type="dxa" w:w="432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Fixture and control installation</w:t>
            </w:r>
          </w:p>
        </w:tc>
        <w:tc>
          <w:tcPr>
            <w:tcW w:type="dxa" w:w="607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3F6F4"/>
          </w:tcPr>
          <w:p>
            <w:pPr>
              <w:spacing w:before="0" w:after="0" w:line="264" w:lineRule="auto"/>
              <w:jc w:val="left"/>
            </w:pPr>
            <w:r>
              <w:rPr>
                <w:rFonts w:ascii="DejaVu Sans" w:hAnsi="DejaVu Sans"/>
                <w:b w:val="0"/>
                <w:color w:val="16201C"/>
                <w:sz w:val="18"/>
              </w:rPr>
              <w:t>3 business days, coordinated by area</w:t>
            </w:r>
          </w:p>
        </w:tc>
      </w:tr>
      <w:tr>
        <w:trPr>
          <w:cantSplit/>
        </w:trPr>
        <w:tc>
          <w:tcPr>
            <w:tcW w:type="dxa" w:w="4320"/>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Checks and handover</w:t>
            </w:r>
          </w:p>
        </w:tc>
        <w:tc>
          <w:tcPr>
            <w:tcW w:type="dxa" w:w="6077"/>
            <w:vAlign w:val="center"/>
            <w:tcBorders>
              <w:top w:val="single" w:sz="4" w:color="D9D9D9"/>
              <w:left w:val="single" w:sz="4" w:color="D9D9D9"/>
              <w:bottom w:val="single" w:sz="4" w:color="D9D9D9"/>
              <w:right w:val="single" w:sz="4" w:color="D9D9D9"/>
            </w:tcBorders>
            <w:tcMar>
              <w:top w:w="70" w:type="dxa"/>
              <w:bottom w:w="70" w:type="dxa"/>
              <w:left w:w="95" w:type="dxa"/>
              <w:right w:w="95" w:type="dxa"/>
            </w:tcMar>
            <w:shd w:fill="FFFFFF"/>
          </w:tcPr>
          <w:p>
            <w:pPr>
              <w:spacing w:before="0" w:after="0" w:line="264" w:lineRule="auto"/>
              <w:jc w:val="left"/>
            </w:pPr>
            <w:r>
              <w:rPr>
                <w:rFonts w:ascii="DejaVu Sans" w:hAnsi="DejaVu Sans"/>
                <w:b w:val="0"/>
                <w:color w:val="16201C"/>
                <w:sz w:val="18"/>
              </w:rPr>
              <w:t>Within 2 business days of installation</w:t>
            </w:r>
          </w:p>
        </w:tc>
      </w:tr>
    </w:tbl>
    <w:p>
      <w:pPr>
        <w:spacing w:after="0" w:before="0" w:line="240" w:lineRule="auto"/>
      </w:pPr>
      <w:r>
        <w:rPr>
          <w:sz w:val="6"/>
        </w:rPr>
      </w:r>
    </w:p>
    <w:p>
      <w:r>
        <w:rPr>
          <w:b w:val="0"/>
        </w:rPr>
        <w:t>Timing depends on product availability, access and inspection arrangements. Pricing assumes weekday access from 8 a.m. to 5 p.m., clear work areas and coordinated shutdowns. After-hours work is priced separately.</w:t>
      </w:r>
    </w:p>
    <w:p>
      <w:pPr>
        <w:pStyle w:val="Heading1"/>
      </w:pPr>
      <w:r>
        <w:t>Scope boundaries</w:t>
      </w:r>
    </w:p>
    <w:p>
      <w:r>
        <w:rPr>
          <w:b w:val="0"/>
        </w:rPr>
        <w:t>Excluded: panel or service upgrades; new circuits; structural or ceiling repairs; painting; hazardous material remediation; emergency, exit or exterior lighting; and unlisted areas. Unusable existing wiring or mounting conditions will be documented and priced for approval.</w:t>
      </w:r>
    </w:p>
    <w:p>
      <w:pPr>
        <w:pStyle w:val="Heading1"/>
      </w:pPr>
      <w:r>
        <w:t>Payment and changes</w:t>
      </w:r>
    </w:p>
    <w:p>
      <w:r>
        <w:rPr>
          <w:b w:val="0"/>
        </w:rPr>
        <w:t>Proposed billing: 50% at approved equipment procurement and 50% after installation and handover, subject to any retainage and the final project agreement. Retainage is released as the contract and state law allow. Changes require written approval of the price and schedule effect before work proceeds.</w:t>
      </w:r>
    </w:p>
    <w:p>
      <w:pPr>
        <w:pStyle w:val="Heading1"/>
      </w:pPr>
      <w:r>
        <w:t>Warranty and closeout</w:t>
      </w:r>
    </w:p>
    <w:p>
      <w:r>
        <w:rPr>
          <w:b w:val="0"/>
        </w:rPr>
        <w:t>The fixture specification calls for a five-year manufacturer warranty, with coverage confirmed in the approved cut sheets. Northbeam Electrical offers one year of installation workmanship coverage from completion. Closeout includes product and warranty records, control settings and applicable inspection records.</w:t>
      </w:r>
    </w:p>
    <w:p>
      <w:pPr>
        <w:pStyle w:val="Heading1"/>
      </w:pPr>
      <w:r>
        <w:t>Acceptance</w:t>
      </w:r>
    </w:p>
    <w:p>
      <w:r>
        <w:rPr>
          <w:b w:val="0"/>
        </w:rPr>
        <w:t xml:space="preserve">Approve the listed scope and </w:t>
      </w:r>
      <w:r>
        <w:rPr>
          <w:b/>
        </w:rPr>
        <w:t>$22,401.40 including tax</w:t>
      </w:r>
      <w:r>
        <w:rPr>
          <w:b w:val="0"/>
        </w:rPr>
        <w:t>, subject to product confirmation and agreed terms. No energy-saving guarantee or utility rebate is included.</w:t>
      </w:r>
    </w:p>
    <w:p>
      <w:r>
        <w:rPr>
          <w:b w:val="0"/>
        </w:rPr>
        <w:t>Client name and title  ______________________________________________________</w:t>
      </w:r>
      <w:r>
        <w:br/>
      </w:r>
      <w:r>
        <w:rPr>
          <w:b w:val="0"/>
        </w:rPr>
        <w:t>Client signature  ____________________________    Date  _____________________</w:t>
      </w:r>
      <w:r>
        <w:br/>
      </w:r>
      <w:r>
        <w:rPr>
          <w:b w:val="0"/>
        </w:rPr>
        <w:t>Contractor representative  ____________________    Date  _____________________</w:t>
      </w:r>
    </w:p>
    <w:p>
      <w:pPr>
        <w:spacing w:line="264" w:lineRule="auto" w:after="120"/>
      </w:pPr>
      <w:r>
        <w:rPr>
          <w:b w:val="0"/>
          <w:color w:val="58645D"/>
          <w:sz w:val="16"/>
        </w:rPr>
        <w:t>Before reuse, add the actual contractor contact and license details, replace the sample inputs, recalculate all amounts and adapt the terms to the project.</w:t>
      </w:r>
    </w:p>
    <w:sectPr w:rsidR="00FC693F" w:rsidRPr="0006063C" w:rsidSect="00034616">
      <w:headerReference w:type="default" r:id="rId9"/>
      <w:footerReference w:type="default" r:id="rId10"/>
      <w:pgSz w:w="12240" w:h="15840"/>
      <w:pgMar w:top="1181" w:right="922" w:bottom="1238" w:left="922" w:header="49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0396" w:val="right"/>
      </w:tabs>
      <w:spacing w:after="60"/>
    </w:pPr>
    <w:r>
      <w:rPr>
        <w:b/>
        <w:color w:val="237747"/>
        <w:sz w:val="16"/>
      </w:rPr>
      <w:t xml:space="preserve">Template by LumaQuote  |  </w:t>
    </w:r>
    <w:hyperlink r:id="rId1">
      <w:r>
        <w:rPr>
          <w:b/>
          <w:color w:val="237747"/>
          <w:sz w:val="16"/>
        </w:rPr>
        <w:t>lumaquote.com</w:t>
      </w:r>
    </w:hyperlink>
    <w:r>
      <w:tab/>
    </w:r>
    <w:fldSimple w:instr="PAGE"/>
    <w:r>
      <w:t xml:space="preserve"> / </w:t>
    </w:r>
    <w:fldSimple w:instr="NUMPAGES"/>
  </w:p>
  <w:p>
    <w:pPr>
      <w:spacing w:after="0"/>
    </w:pPr>
    <w:r>
      <w:rPr>
        <w:color w:val="58645D"/>
        <w:sz w:val="15"/>
      </w:rPr>
      <w:t>Fictional US project  |  USD  |  Sample figures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396" w:val="right"/>
      </w:tabs>
      <w:spacing w:after="0"/>
    </w:pPr>
    <w:r>
      <w:rPr>
        <w:b/>
      </w:rPr>
      <w:drawing>
        <wp:inline xmlns:a="http://schemas.openxmlformats.org/drawingml/2006/main" xmlns:pic="http://schemas.openxmlformats.org/drawingml/2006/picture">
          <wp:extent cx="244181" cy="182880"/>
          <wp:docPr id="1" name="Picture 1"/>
          <wp:cNvGraphicFramePr>
            <a:graphicFrameLocks noChangeAspect="1"/>
          </wp:cNvGraphicFramePr>
          <a:graphic>
            <a:graphicData uri="http://schemas.openxmlformats.org/drawingml/2006/picture">
              <pic:pic>
                <pic:nvPicPr>
                  <pic:cNvPr id="0" name="lq-logo.png"/>
                  <pic:cNvPicPr/>
                </pic:nvPicPr>
                <pic:blipFill>
                  <a:blip r:embed="rId1"/>
                  <a:stretch>
                    <a:fillRect/>
                  </a:stretch>
                </pic:blipFill>
                <pic:spPr>
                  <a:xfrm>
                    <a:off x="0" y="0"/>
                    <a:ext cx="244181" cy="182880"/>
                  </a:xfrm>
                  <a:prstGeom prst="rect"/>
                </pic:spPr>
              </pic:pic>
            </a:graphicData>
          </a:graphic>
        </wp:inline>
      </w:drawing>
    </w:r>
    <w:r>
      <w:rPr>
        <w:b/>
      </w:rPr>
      <w:t xml:space="preserve">  </w:t>
    </w:r>
    <w:r>
      <w:rPr>
        <w:b/>
        <w:color w:val="111D18"/>
      </w:rPr>
      <w:t>Luma</w:t>
    </w:r>
    <w:r>
      <w:rPr>
        <w:b/>
        <w:color w:val="0D7A4F"/>
      </w:rPr>
      <w:t>Quote</w:t>
    </w:r>
    <w:r>
      <w:rPr>
        <w:sz w:val="16"/>
      </w:rPr>
      <w:tab/>
      <w:t>LQ-EX-1008  |  REV 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4" w:lineRule="auto" w:after="140"/>
    </w:pPr>
    <w:rPr>
      <w:rFonts w:ascii="DejaVu Sans" w:hAnsi="DejaVu San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60"/>
      <w:outlineLvl w:val="0"/>
    </w:pPr>
    <w:rPr>
      <w:rFonts w:asciiTheme="majorHAnsi" w:eastAsiaTheme="majorEastAsia" w:hAnsiTheme="majorHAnsi" w:cstheme="majorBidi" w:ascii="DejaVu Sans" w:hAnsi="DejaVu Sans"/>
      <w:b/>
      <w:bCs/>
      <w:i w:val="0"/>
      <w:color w:val="000000"/>
      <w:sz w:val="26"/>
      <w:szCs w:val="28"/>
      <w:u w:val="non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DejaVu Sans" w:hAnsi="DejaVu Sans"/>
      <w:b/>
      <w:i w:val="0"/>
      <w:color w:val="000000"/>
      <w:spacing w:val="5"/>
      <w:kern w:val="28"/>
      <w:sz w:val="5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DejaVu Sans" w:hAnsi="DejaVu Sans"/>
      <w:b w:val="0"/>
      <w:i w:val="0"/>
      <w:iCs/>
      <w:color w:val="000000"/>
      <w:spacing w:val="15"/>
      <w:sz w:val="30"/>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lumaquote.com/electrical-proposal-template?utm_source=proposal-template&amp;utm_medium=docx-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Proposal Template: Commercial Lighting Retrofit (US sample)</dc:title>
  <dc:subject>Editable electrical proposal template for an LED lighting retrofit: scope, itemized pricing, energy savings, payback, 10-year cash flow and acceptance.</dc:subject>
  <dc:creator>LumaQuote</dc:creator>
  <cp:keywords>electrical proposal template, lighting retrofit proposal, LED retrofit proposal, electrical contractor proposal, sales tax</cp:keywords>
  <dc:description>https://www.lumaquote.com/electrical-proposal-template</dc:description>
  <cp:lastModifiedBy>LumaQuote</cp:lastModifiedBy>
  <cp:revision>1</cp:revision>
  <dcterms:created xsi:type="dcterms:W3CDTF">2013-12-23T23:15:00Z</dcterms:created>
  <dcterms:modified xsi:type="dcterms:W3CDTF">2013-12-23T23:15:00Z</dcterms:modified>
  <cp:category/>
</cp:coreProperties>
</file>